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会改革自评表</w:t>
      </w:r>
    </w:p>
    <w:p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组织名称：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广东财经大学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学生会/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sym w:font="Wingdings 2" w:char="0052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研究生会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二级学生会组织（含二级院系、书院、分校区等学生会、研究生会）数量：__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__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是否已由省级团委、学联核查（复评）：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是/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sym w:font="Wingdings 2" w:char="0052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80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4"/>
            <w:shd w:val="clear" w:color="auto" w:fill="D7D7D7" w:themeFill="background1" w:themeFillShade="D8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校级学生会组织情况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项目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评估结论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3. 工作人员不超过40人，学生人数较多、分校区较多的高校不超过60人。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实有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>59</w:t>
            </w:r>
            <w:bookmarkStart w:id="0" w:name="_GoBack"/>
            <w:bookmarkEnd w:id="0"/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主席团成员不超过5人。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实有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工作部门不超过6个。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实有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6. 除主席、副主席（轮值执行主席）、部长、副部长、干事外未设其他职务。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7. 工作人员为共产党员或共青团员。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8.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9. 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10. 主席团由学生代表大会（非其委员会、常务委员会、常任代表会议等）选举产生。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11. 按期规范召开学生（研究生）代表大会。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召开日期为：2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020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.1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.2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2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12. 校级学生（研究生）代表大会代表经班级团支部推荐、学院（系）组织选举产生。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13. 开展了春、秋季学生会组织工作人员全员培训。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14.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15.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16.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17. 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95318753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95318753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023CF"/>
    <w:multiLevelType w:val="singleLevel"/>
    <w:tmpl w:val="52F023CF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B0F6B"/>
    <w:rsid w:val="338B5B66"/>
    <w:rsid w:val="495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2021-11-09T13:46:00Z</dcterms:created>
  <dc:creator>加C</dc:creator>
  <cp:lastModifiedBy>老郭</cp:lastModifiedBy>
  <dcterms:modified xsi:type="dcterms:W3CDTF">2021-11-10T00:57:20Z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E028CBD22DD349CFBC6F89C0B314552A</vt:lpwstr>
  </property>
</Properties>
</file>