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附件1</w:t>
      </w:r>
    </w:p>
    <w:p>
      <w:pPr>
        <w:spacing w:line="480" w:lineRule="exact"/>
        <w:jc w:val="center"/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u w:val="none"/>
          <w:lang w:eastAsia="zh-CN"/>
        </w:rPr>
        <w:t>2024-2025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  <w:t>“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  <w:lang w:val="en-US" w:eastAsia="zh-CN"/>
        </w:rPr>
        <w:t>广东财经大学</w:t>
      </w: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  <w:t>五四红旗团委”</w:t>
      </w:r>
    </w:p>
    <w:p>
      <w:pPr>
        <w:spacing w:line="480" w:lineRule="exact"/>
        <w:jc w:val="center"/>
        <w:rPr>
          <w:rFonts w:eastAsia="方正小标宋简体"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eastAsia="方正小标宋简体"/>
          <w:bCs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938"/>
        <w:gridCol w:w="590"/>
        <w:gridCol w:w="922"/>
        <w:gridCol w:w="1022"/>
        <w:gridCol w:w="148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团委全称</w:t>
            </w:r>
          </w:p>
        </w:tc>
        <w:tc>
          <w:tcPr>
            <w:tcW w:w="7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总数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下属团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支部数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团员人数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2024届毕业生团组织关系转接率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年度团员注册率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团员连续3个月未交团费比例</w:t>
            </w:r>
            <w:bookmarkStart w:id="0" w:name="OLE_LINK1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  <w:bookmarkEnd w:id="0"/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1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获得校级及以上荣誉情况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开展的主要活动和青年参与情况及取得的效果</w:t>
            </w:r>
          </w:p>
        </w:tc>
        <w:tc>
          <w:tcPr>
            <w:tcW w:w="76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学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院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党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委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年  月  日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校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见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年  月  日</w:t>
            </w:r>
          </w:p>
        </w:tc>
      </w:tr>
    </w:tbl>
    <w:p>
      <w:pPr>
        <w:pStyle w:val="9"/>
        <w:widowControl w:val="0"/>
        <w:adjustRightInd w:val="0"/>
        <w:snapToGrid w:val="0"/>
        <w:spacing w:before="0" w:beforeAutospacing="0" w:after="0" w:afterAutospacing="0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6BA2C89"/>
    <w:rsid w:val="07FB3574"/>
    <w:rsid w:val="083E6008"/>
    <w:rsid w:val="099D2920"/>
    <w:rsid w:val="0BF74387"/>
    <w:rsid w:val="0D9C10BE"/>
    <w:rsid w:val="0FB064EB"/>
    <w:rsid w:val="17FF6273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8E23B1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5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