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32"/>
          <w:lang w:eastAsia="zh-CN"/>
        </w:rPr>
      </w:pPr>
      <w:r>
        <w:rPr>
          <w:rFonts w:hint="eastAsia" w:ascii="方正小标宋简体" w:eastAsia="方正小标宋简体"/>
          <w:sz w:val="44"/>
          <w:szCs w:val="32"/>
          <w:lang w:eastAsia="zh-CN"/>
        </w:rPr>
        <w:t>关于</w:t>
      </w:r>
      <w:r>
        <w:rPr>
          <w:rFonts w:hint="eastAsia" w:ascii="方正小标宋简体" w:eastAsia="方正小标宋简体"/>
          <w:sz w:val="44"/>
          <w:szCs w:val="32"/>
          <w:lang w:val="en-US" w:eastAsia="zh-CN"/>
        </w:rPr>
        <w:t>政审材料的说明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坚持标准和程序，严格把关，层层审核，逐级上报。所有推荐对象个人需由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fldChar w:fldCharType="begin"/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instrText xml:space="preserve"> HYPERLINK "https://baike.so.com/doc/216648-229158.html" \t "https://baike.so.com/doc/_blank" </w:instrTex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fldChar w:fldCharType="separate"/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基层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fldChar w:fldCharType="end"/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党组织出具政治审查报告。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1.可由推荐人选所在单位党组织或其户口地所在街道党组织开具，非公企业人员政审材料可由企业的所属“两新”组织党工委开具。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2、政审材料的表述应包含推荐人选的个人主要信息、政治表现情况、工作情况、计划生育情况、有无违法犯罪情况（是党员的还需含有无违纪情况等表述）、单位青年群众评价及其他需要说明的情况。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3、政治面貌为“民主党派成员”或“无党派人士”的，需本单位或当地县级以上统战部门出具相关意见。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4A425090-FF8D-429A-9059-371663C4BCA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BBFAC04D-0319-486F-ACEF-CF74E3CE171D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A25F0871-750C-4DAD-8073-22B3023991D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3ZTJlMDQ3YzM4OTMzMzdlZjVmZDI4MDEyOWJkOTAifQ=="/>
  </w:docVars>
  <w:rsids>
    <w:rsidRoot w:val="60617DE3"/>
    <w:rsid w:val="6061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pacing w:line="360" w:lineRule="auto"/>
      <w:ind w:firstLine="420"/>
      <w:textAlignment w:val="baseline"/>
    </w:pPr>
    <w:rPr>
      <w:rFonts w:ascii="Calibri" w:hAnsi="Calibri" w:eastAsia="宋体"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2023-01-14T10:11:00Z</dcterms:created>
  <dc:creator>CHAOHONG</dc:creator>
  <cp:lastModifiedBy>CHAOHONG</cp:lastModifiedBy>
  <dcterms:modified xsi:type="dcterms:W3CDTF">2023-01-14T10:12:04Z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9E04D32C11C743D29F5C9B60C9617B6D</vt:lpwstr>
  </property>
</Properties>
</file>