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Cs w:val="32"/>
          <w:highlight w:val="none"/>
        </w:rPr>
      </w:pPr>
      <w:bookmarkStart w:id="0" w:name="_GoBack"/>
      <w:r>
        <w:rPr>
          <w:rFonts w:hint="eastAsia" w:ascii="黑体" w:hAnsi="黑体" w:eastAsia="黑体"/>
          <w:szCs w:val="32"/>
          <w:highlight w:val="none"/>
        </w:rPr>
        <w:t>附件1</w:t>
      </w:r>
    </w:p>
    <w:p>
      <w:pPr>
        <w:spacing w:line="720" w:lineRule="exact"/>
        <w:jc w:val="center"/>
        <w:rPr>
          <w:rFonts w:ascii="方正小标宋简体" w:hAnsi="宋体" w:eastAsia="方正小标宋简体"/>
          <w:b/>
          <w:sz w:val="44"/>
          <w:szCs w:val="44"/>
          <w:highlight w:val="none"/>
        </w:rPr>
      </w:pPr>
      <w:r>
        <w:rPr>
          <w:rFonts w:hint="eastAsia" w:ascii="方正小标宋简体" w:hAnsi="宋体" w:eastAsia="方正小标宋简体"/>
          <w:b/>
          <w:sz w:val="44"/>
          <w:szCs w:val="44"/>
          <w:highlight w:val="none"/>
        </w:rPr>
        <w:t>2023-2024学年广东财经大学大学生创新创业</w:t>
      </w:r>
    </w:p>
    <w:p>
      <w:pPr>
        <w:spacing w:line="720" w:lineRule="exact"/>
        <w:jc w:val="center"/>
        <w:rPr>
          <w:rFonts w:ascii="方正小标宋简体" w:hAnsi="宋体" w:eastAsia="方正小标宋简体"/>
          <w:b/>
          <w:sz w:val="44"/>
          <w:szCs w:val="44"/>
          <w:highlight w:val="none"/>
        </w:rPr>
      </w:pPr>
      <w:r>
        <w:rPr>
          <w:rFonts w:hint="eastAsia" w:ascii="方正小标宋简体" w:hAnsi="宋体" w:eastAsia="方正小标宋简体"/>
          <w:b/>
          <w:sz w:val="44"/>
          <w:szCs w:val="44"/>
          <w:highlight w:val="none"/>
        </w:rPr>
        <w:t>项目培育“双百工程”立项申报指南</w:t>
      </w:r>
    </w:p>
    <w:p>
      <w:pPr>
        <w:spacing w:line="560" w:lineRule="exact"/>
        <w:rPr>
          <w:rFonts w:hint="eastAsia" w:ascii="仿宋_GB2312" w:hAnsi="Tahoma" w:eastAsia="仿宋_GB2312" w:cs="Tahoma"/>
          <w:color w:val="000000"/>
          <w:szCs w:val="32"/>
          <w:highlight w:val="none"/>
        </w:rPr>
      </w:pPr>
    </w:p>
    <w:p>
      <w:pPr>
        <w:spacing w:line="560" w:lineRule="exact"/>
        <w:ind w:firstLine="632" w:firstLineChars="200"/>
        <w:rPr>
          <w:rFonts w:hint="eastAsia" w:ascii="黑体" w:hAnsi="黑体" w:eastAsia="黑体"/>
          <w:szCs w:val="32"/>
          <w:highlight w:val="none"/>
        </w:rPr>
      </w:pPr>
      <w:r>
        <w:rPr>
          <w:rFonts w:hint="eastAsia" w:ascii="黑体" w:hAnsi="黑体" w:eastAsia="黑体"/>
          <w:szCs w:val="32"/>
          <w:highlight w:val="none"/>
        </w:rPr>
        <w:t>一、“双百工程”概况</w:t>
      </w:r>
    </w:p>
    <w:p>
      <w:pPr>
        <w:spacing w:line="560" w:lineRule="exact"/>
        <w:ind w:firstLine="632" w:firstLineChars="200"/>
        <w:rPr>
          <w:rFonts w:hint="eastAsia" w:ascii="仿宋_GB2312" w:hAnsi="仿宋" w:eastAsia="仿宋_GB2312"/>
          <w:szCs w:val="32"/>
          <w:highlight w:val="none"/>
        </w:rPr>
      </w:pPr>
      <w:r>
        <w:rPr>
          <w:rFonts w:hint="eastAsia" w:ascii="仿宋_GB2312" w:hAnsi="仿宋" w:eastAsia="仿宋_GB2312"/>
          <w:szCs w:val="32"/>
          <w:highlight w:val="none"/>
        </w:rPr>
        <w:t>“双百工程”是学校大学生创新创业项目培育中重要的基础性、源头性工作，学校通过统一遴选、提供经费、选派优秀导师、开展培训、组织交流等形式，持续培育、重点培养一批有潜力的学生创新创业项目并推进成果转化。</w:t>
      </w:r>
    </w:p>
    <w:p>
      <w:pPr>
        <w:spacing w:line="560" w:lineRule="exact"/>
        <w:ind w:firstLine="632" w:firstLineChars="200"/>
        <w:rPr>
          <w:rFonts w:hint="eastAsia" w:ascii="仿宋_GB2312" w:hAnsi="仿宋" w:eastAsia="仿宋_GB2312"/>
          <w:szCs w:val="32"/>
          <w:highlight w:val="none"/>
        </w:rPr>
      </w:pPr>
      <w:r>
        <w:rPr>
          <w:rFonts w:hint="eastAsia" w:ascii="仿宋_GB2312" w:hAnsi="仿宋" w:eastAsia="仿宋_GB2312"/>
          <w:szCs w:val="32"/>
          <w:highlight w:val="none"/>
        </w:rPr>
        <w:t>学校构建“双百工程”立项与校内外各类创新创业竞赛及立项活动的有效对接机制，将“双百工程”中的重点项目作为省级、国家级大学生创新创业训练计划项目、广东大学生科技创新培育专项资金（“攀登计划”专项资金）推荐项目、学校创业园区入园项目及国家级、省级创新创业类竞赛的主要项目来源。</w:t>
      </w:r>
    </w:p>
    <w:p>
      <w:pPr>
        <w:spacing w:line="560" w:lineRule="exact"/>
        <w:ind w:firstLine="632" w:firstLineChars="200"/>
        <w:rPr>
          <w:rFonts w:hint="eastAsia" w:ascii="黑体" w:hAnsi="黑体" w:eastAsia="黑体"/>
          <w:szCs w:val="32"/>
          <w:highlight w:val="none"/>
        </w:rPr>
      </w:pPr>
      <w:r>
        <w:rPr>
          <w:rFonts w:hint="eastAsia" w:ascii="黑体" w:hAnsi="黑体" w:eastAsia="黑体"/>
          <w:szCs w:val="32"/>
          <w:highlight w:val="none"/>
        </w:rPr>
        <w:t>二、项目类别</w:t>
      </w:r>
    </w:p>
    <w:p>
      <w:pPr>
        <w:spacing w:line="560" w:lineRule="exact"/>
        <w:ind w:firstLine="474" w:firstLineChars="150"/>
        <w:rPr>
          <w:rFonts w:hint="eastAsia" w:ascii="仿宋_GB2312" w:hAnsi="仿宋" w:eastAsia="仿宋_GB2312"/>
          <w:b/>
          <w:szCs w:val="32"/>
          <w:highlight w:val="none"/>
        </w:rPr>
      </w:pPr>
      <w:r>
        <w:rPr>
          <w:rFonts w:hint="eastAsia" w:ascii="仿宋_GB2312" w:hAnsi="仿宋" w:eastAsia="仿宋_GB2312"/>
          <w:b/>
          <w:szCs w:val="32"/>
          <w:highlight w:val="none"/>
        </w:rPr>
        <w:t>（一）学术科技创新项目</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申报立项项目分为自然科学类学术论文、哲学社会科学类社会调查报告和学术论文、科技发明制作三类。</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lang w:val="en-US" w:eastAsia="zh-CN"/>
        </w:rPr>
        <w:t>1.</w:t>
      </w:r>
      <w:r>
        <w:rPr>
          <w:rFonts w:hint="eastAsia" w:ascii="仿宋_GB2312" w:hAnsi="仿宋" w:eastAsia="仿宋_GB2312"/>
          <w:kern w:val="2"/>
          <w:sz w:val="32"/>
          <w:szCs w:val="32"/>
          <w:highlight w:val="none"/>
        </w:rPr>
        <w:t>自然科学类学术论文。本类项目限定在机械制造、能源化工、信息技术、生命科学、数理5个学科领域内，主要针对相应学科或领域前沿问题进行探索研究，要求具有较强的前沿性和学术性。本类别限本科生申报。</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lang w:val="en-US" w:eastAsia="zh-CN"/>
        </w:rPr>
        <w:t>2.</w:t>
      </w:r>
      <w:r>
        <w:rPr>
          <w:rFonts w:hint="eastAsia" w:ascii="仿宋_GB2312" w:hAnsi="仿宋" w:eastAsia="仿宋_GB2312"/>
          <w:kern w:val="2"/>
          <w:sz w:val="32"/>
          <w:szCs w:val="32"/>
          <w:highlight w:val="none"/>
        </w:rPr>
        <w:t>哲学社会科学类社会调查报告和学术论文。其中社会调查报告类分为“发展成就”“文明文化”“美丽中国”“民生福祉”“中国之治”5个组别。</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“发展成就”可以着眼于构建高水平社会主义市场经济体制、建设现代化产业体系、全面推进乡村振兴、促进区域协调发展、推进高水平对外开放、科技自立自强等;</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“文明文化”可以着眼于强化社会主义意识形态、社会文明建设、文化事业和文化产业、文化传播等;</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“美丽中国”可以着眼于绿色低碳、污染防治、生物多样性保护、能源清洁利用等;</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“民生福祉”可以着眼于建设高质量教育体系、完善分配制度、促进就业、健全社会保障、推进健康中国建设、疫情防控等;</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“中国之治”可以着眼于全过程人民民主、全面依法治国、维护国家安全、完善社会治理等。</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申报作品总体要求:认真学习党的二十大精神，把握好习近平新时代中国特色社会主义思想的世界观和方法论，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制度和文化的理解和把握，树立正确的世界观、人生观、价值观，培养实事求是、以人为本、与时俱进、艰苦奋斗、勇于创新和科学严谨的精神，锻炼运用科学理论认识、分析和解决实际问题的能力。</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lang w:val="en-US" w:eastAsia="zh-CN"/>
        </w:rPr>
        <w:t>3.</w:t>
      </w:r>
      <w:r>
        <w:rPr>
          <w:rFonts w:hint="eastAsia" w:ascii="仿宋_GB2312" w:hAnsi="仿宋" w:eastAsia="仿宋_GB2312"/>
          <w:kern w:val="2"/>
          <w:sz w:val="32"/>
          <w:szCs w:val="32"/>
          <w:highlight w:val="none"/>
        </w:rPr>
        <w:t>科技发明制作。科技发明制作分为A、B两类:A类指科技含量较高、制作投入较大的作品;B类指投入较少，且为生产技术或社会生活带来便利的小发明、小制作等。</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（二）创业项目</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1.申报立项项目根据项目所处阶段分为创业计划项目、创业实践项目两类。</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创业计划项目：本类项目要求团队中的每个学生在项目实施过程中扮演一个或多个具体角色，完成商业计划书编制、可行性研究、企业模拟运行、创业报告撰写等工作。项目完成时必须有完善的商业计划书。</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创业实践项目：本类项目要求团队开发具有市场前景的创新性产品或者服务，开展创业实践活动。项目立项时必须要有较为完备的商业计划书，项目开展过程中须实地落地运营，完成时须有运营状况报告。</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2.申报立项项目根据所关注领域分为</w:t>
      </w:r>
      <w:r>
        <w:rPr>
          <w:rFonts w:hint="eastAsia" w:ascii="仿宋_GB2312" w:hAnsi="仿宋" w:eastAsia="仿宋_GB2312"/>
          <w:kern w:val="2"/>
          <w:sz w:val="32"/>
          <w:szCs w:val="32"/>
          <w:highlight w:val="none"/>
          <w:lang w:val="en-US" w:eastAsia="zh-CN"/>
        </w:rPr>
        <w:t>科技创新和未来产业类</w:t>
      </w:r>
      <w:r>
        <w:rPr>
          <w:rFonts w:hint="eastAsia" w:ascii="仿宋_GB2312" w:hAnsi="仿宋" w:eastAsia="仿宋_GB2312"/>
          <w:kern w:val="2"/>
          <w:sz w:val="32"/>
          <w:szCs w:val="32"/>
          <w:highlight w:val="none"/>
        </w:rPr>
        <w:t>、</w:t>
      </w:r>
      <w:r>
        <w:rPr>
          <w:rFonts w:hint="eastAsia" w:ascii="仿宋_GB2312" w:hAnsi="仿宋" w:eastAsia="仿宋_GB2312"/>
          <w:kern w:val="2"/>
          <w:sz w:val="32"/>
          <w:szCs w:val="32"/>
          <w:highlight w:val="none"/>
          <w:lang w:val="en-US" w:eastAsia="zh-CN"/>
        </w:rPr>
        <w:t>乡村振兴和产业发展类</w:t>
      </w:r>
      <w:r>
        <w:rPr>
          <w:rFonts w:hint="eastAsia" w:ascii="仿宋_GB2312" w:hAnsi="仿宋" w:eastAsia="仿宋_GB2312"/>
          <w:kern w:val="2"/>
          <w:sz w:val="32"/>
          <w:szCs w:val="32"/>
          <w:highlight w:val="none"/>
        </w:rPr>
        <w:t>、</w:t>
      </w:r>
      <w:r>
        <w:rPr>
          <w:rFonts w:hint="eastAsia" w:ascii="仿宋_GB2312" w:hAnsi="仿宋" w:eastAsia="仿宋_GB2312"/>
          <w:kern w:val="2"/>
          <w:sz w:val="32"/>
          <w:szCs w:val="32"/>
          <w:highlight w:val="none"/>
          <w:lang w:val="en-US" w:eastAsia="zh-CN"/>
        </w:rPr>
        <w:t>城市治理和社会服务类</w:t>
      </w:r>
      <w:r>
        <w:rPr>
          <w:rFonts w:hint="eastAsia" w:ascii="仿宋_GB2312" w:hAnsi="仿宋" w:eastAsia="仿宋_GB2312"/>
          <w:kern w:val="2"/>
          <w:sz w:val="32"/>
          <w:szCs w:val="32"/>
          <w:highlight w:val="none"/>
        </w:rPr>
        <w:t>、生态环保和可持续发展</w:t>
      </w:r>
      <w:r>
        <w:rPr>
          <w:rFonts w:hint="eastAsia" w:ascii="仿宋_GB2312" w:hAnsi="仿宋" w:eastAsia="仿宋_GB2312"/>
          <w:kern w:val="2"/>
          <w:sz w:val="32"/>
          <w:szCs w:val="32"/>
          <w:highlight w:val="none"/>
          <w:lang w:val="en-US" w:eastAsia="zh-CN"/>
        </w:rPr>
        <w:t>类、</w:t>
      </w:r>
      <w:r>
        <w:rPr>
          <w:rFonts w:hint="eastAsia" w:ascii="仿宋_GB2312" w:hAnsi="仿宋" w:eastAsia="仿宋_GB2312"/>
          <w:kern w:val="2"/>
          <w:sz w:val="32"/>
          <w:szCs w:val="32"/>
          <w:highlight w:val="none"/>
        </w:rPr>
        <w:t>文化创意和区域合作类</w:t>
      </w:r>
      <w:r>
        <w:rPr>
          <w:rFonts w:hint="eastAsia" w:ascii="仿宋_GB2312" w:hAnsi="仿宋" w:eastAsia="仿宋_GB2312"/>
          <w:kern w:val="2"/>
          <w:sz w:val="32"/>
          <w:szCs w:val="32"/>
          <w:highlight w:val="none"/>
          <w:lang w:val="en-US" w:eastAsia="zh-CN"/>
        </w:rPr>
        <w:t>项目</w:t>
      </w:r>
      <w:r>
        <w:rPr>
          <w:rFonts w:hint="eastAsia" w:ascii="仿宋_GB2312" w:hAnsi="仿宋" w:eastAsia="仿宋_GB2312"/>
          <w:kern w:val="2"/>
          <w:sz w:val="32"/>
          <w:szCs w:val="32"/>
          <w:highlight w:val="none"/>
        </w:rPr>
        <w:t>。</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1.科技创新和未来产业类：分为人工智能组、网络信息组、生命科学与医药组、新材料组、新能源组；</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2.乡村振兴和产业发展类：分为农林牧渔组、电子商务组、旅游休闲组；</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3.城市治理和社会服务类：分为政务服务组、金融服务组、消费生活组、医疗服务组、教育培训组、交通物流组；</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4.生态环保和可持续发展类：分为环境治理组、可持续资源开发组、生态环保组、清洁能源应用组；</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5.文化创意和区域合作类：分为文化创意与工艺设计组、体育竞技组、文化交流组、经济与贸易组。</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参赛项目应结合以上分类及自身项目实际，合理选择项目组别。</w:t>
      </w:r>
    </w:p>
    <w:p>
      <w:pPr>
        <w:pStyle w:val="7"/>
        <w:adjustRightInd w:val="0"/>
        <w:snapToGrid w:val="0"/>
        <w:spacing w:before="0" w:beforeAutospacing="0" w:after="0" w:afterAutospacing="0" w:line="560" w:lineRule="exact"/>
        <w:ind w:firstLine="632" w:firstLineChars="200"/>
        <w:jc w:val="both"/>
        <w:rPr>
          <w:rFonts w:hint="eastAsia" w:ascii="黑体" w:hAnsi="黑体" w:eastAsia="黑体"/>
          <w:sz w:val="32"/>
          <w:szCs w:val="32"/>
          <w:highlight w:val="none"/>
        </w:rPr>
      </w:pPr>
      <w:r>
        <w:rPr>
          <w:rFonts w:hint="eastAsia" w:ascii="黑体" w:hAnsi="黑体" w:eastAsia="黑体"/>
          <w:sz w:val="32"/>
          <w:szCs w:val="32"/>
          <w:highlight w:val="none"/>
        </w:rPr>
        <w:t>三、立项等级及资助额度</w:t>
      </w:r>
    </w:p>
    <w:p>
      <w:pPr>
        <w:pStyle w:val="7"/>
        <w:adjustRightInd w:val="0"/>
        <w:snapToGrid w:val="0"/>
        <w:spacing w:before="0" w:beforeAutospacing="0" w:after="0" w:afterAutospacing="0" w:line="560" w:lineRule="exact"/>
        <w:ind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校级立项项目分为“校级重点项目”、“校级一般项目”两个等级。对通过结项验收并达到优秀标准的校级项目，学校将给予奖励性资助，其中自然科学类学术论文、哲学社会科学类社会调查报告和学术论文每项资助1500元，科技发明制作每项资助3000元；创业计划类每项资助1500元，创业实践类项目每项资助3000元。</w:t>
      </w:r>
    </w:p>
    <w:p>
      <w:pPr>
        <w:spacing w:line="560" w:lineRule="exact"/>
        <w:ind w:firstLine="630"/>
        <w:rPr>
          <w:rFonts w:hint="eastAsia" w:ascii="黑体" w:hAnsi="黑体" w:eastAsia="黑体"/>
          <w:szCs w:val="32"/>
          <w:highlight w:val="none"/>
        </w:rPr>
      </w:pPr>
      <w:r>
        <w:rPr>
          <w:rFonts w:hint="eastAsia" w:ascii="黑体" w:hAnsi="黑体" w:eastAsia="黑体"/>
          <w:szCs w:val="32"/>
          <w:highlight w:val="none"/>
        </w:rPr>
        <w:t>四、申报条件</w:t>
      </w:r>
    </w:p>
    <w:p>
      <w:pPr>
        <w:spacing w:line="560" w:lineRule="exact"/>
        <w:ind w:firstLine="632" w:firstLineChars="200"/>
        <w:rPr>
          <w:rFonts w:hint="eastAsia" w:ascii="仿宋_GB2312" w:hAnsi="仿宋" w:eastAsia="仿宋_GB2312"/>
          <w:szCs w:val="32"/>
          <w:highlight w:val="none"/>
        </w:rPr>
      </w:pPr>
      <w:r>
        <w:rPr>
          <w:rFonts w:hint="eastAsia" w:ascii="仿宋_GB2312" w:hAnsi="仿宋" w:eastAsia="仿宋_GB2312"/>
          <w:szCs w:val="32"/>
          <w:highlight w:val="none"/>
        </w:rPr>
        <w:t>1.学校正式注册的全日制普招本科生、研究生（不含在职学习学生）可以申报立项。学术科技创新项目可以个人或团队名义申报，以团队名义申报者，团队成员不超过10人。创业类项目须以团队名义申报，团队人数为3-10人。学术科技创新项目中的自然科学类学术论文仅限本科生申报。</w:t>
      </w:r>
    </w:p>
    <w:p>
      <w:pPr>
        <w:spacing w:line="560" w:lineRule="exact"/>
        <w:ind w:firstLine="632" w:firstLineChars="200"/>
        <w:rPr>
          <w:rFonts w:hint="eastAsia" w:ascii="仿宋_GB2312" w:hAnsi="仿宋" w:eastAsia="仿宋_GB2312"/>
          <w:szCs w:val="32"/>
          <w:highlight w:val="none"/>
        </w:rPr>
      </w:pPr>
      <w:r>
        <w:rPr>
          <w:rFonts w:hint="eastAsia" w:ascii="仿宋_GB2312" w:hAnsi="仿宋" w:eastAsia="仿宋_GB2312"/>
          <w:szCs w:val="32"/>
          <w:highlight w:val="none"/>
        </w:rPr>
        <w:t>2.每名学生仅可主持申报1个项目，项目主持人可作为参与人参加其他项目研究，但仅限1项。非项目主持人最多可参与2个项目。</w:t>
      </w:r>
    </w:p>
    <w:p>
      <w:pPr>
        <w:spacing w:line="560" w:lineRule="exact"/>
        <w:ind w:firstLine="632" w:firstLineChars="200"/>
        <w:rPr>
          <w:rFonts w:hint="eastAsia" w:ascii="仿宋_GB2312" w:hAnsi="仿宋" w:eastAsia="仿宋_GB2312"/>
          <w:szCs w:val="32"/>
          <w:highlight w:val="none"/>
        </w:rPr>
      </w:pPr>
      <w:r>
        <w:rPr>
          <w:rFonts w:hint="eastAsia" w:ascii="仿宋_GB2312" w:hAnsi="仿宋" w:eastAsia="仿宋_GB2312"/>
          <w:szCs w:val="32"/>
          <w:highlight w:val="none"/>
        </w:rPr>
        <w:t>3.所有申报项目均须至少有1名</w:t>
      </w:r>
      <w:r>
        <w:rPr>
          <w:rFonts w:hint="eastAsia" w:ascii="仿宋_GB2312" w:hAnsi="仿宋" w:eastAsia="仿宋_GB2312" w:cs="宋体"/>
          <w:kern w:val="0"/>
          <w:szCs w:val="32"/>
          <w:highlight w:val="none"/>
        </w:rPr>
        <w:t>具有中级及以上职称的老师担任指导教师。</w:t>
      </w:r>
    </w:p>
    <w:p>
      <w:pPr>
        <w:widowControl/>
        <w:shd w:val="clear" w:color="auto" w:fill="FFFFFF"/>
        <w:spacing w:after="225" w:line="560" w:lineRule="exact"/>
        <w:ind w:firstLine="632" w:firstLineChars="200"/>
        <w:jc w:val="left"/>
        <w:textAlignment w:val="baseline"/>
        <w:rPr>
          <w:rFonts w:hint="eastAsia" w:ascii="仿宋_GB2312" w:hAnsi="仿宋" w:eastAsia="仿宋_GB2312"/>
          <w:szCs w:val="32"/>
          <w:highlight w:val="none"/>
        </w:rPr>
      </w:pPr>
      <w:r>
        <w:rPr>
          <w:rFonts w:hint="eastAsia" w:ascii="仿宋_GB2312" w:hAnsi="仿宋" w:eastAsia="仿宋_GB2312"/>
          <w:szCs w:val="32"/>
          <w:highlight w:val="none"/>
        </w:rPr>
        <w:t>4.毕业设计和课程设计（论文）、学年论文和学位论文、获国家级奖励的成果等、往年已经立项的“双百工程”项目（含以“双百”为基础申报立项成功的广东省科技创新战略专项资金（大学生科技创新培育）项目、国家级、省级大学生创新创业训练项目在内的各类项目）不在本次申报范围之列。</w:t>
      </w:r>
    </w:p>
    <w:p>
      <w:pPr>
        <w:spacing w:line="560" w:lineRule="exact"/>
        <w:ind w:firstLine="630"/>
        <w:rPr>
          <w:rFonts w:hint="eastAsia" w:ascii="黑体" w:hAnsi="黑体" w:eastAsia="黑体"/>
          <w:szCs w:val="32"/>
          <w:highlight w:val="none"/>
        </w:rPr>
      </w:pPr>
      <w:r>
        <w:rPr>
          <w:rFonts w:hint="eastAsia" w:ascii="黑体" w:hAnsi="黑体" w:eastAsia="黑体"/>
          <w:szCs w:val="32"/>
          <w:highlight w:val="none"/>
        </w:rPr>
        <w:t>五、优先条件</w:t>
      </w:r>
    </w:p>
    <w:p>
      <w:pPr>
        <w:pStyle w:val="7"/>
        <w:shd w:val="clear" w:color="auto" w:fill="FFFFFF"/>
        <w:spacing w:before="0" w:beforeAutospacing="0" w:after="0" w:afterAutospacing="0" w:line="560" w:lineRule="exact"/>
        <w:ind w:firstLine="645"/>
        <w:jc w:val="both"/>
        <w:textAlignment w:val="baseline"/>
        <w:rPr>
          <w:rFonts w:hint="eastAsia" w:ascii="仿宋_GB2312" w:hAnsi="仿宋" w:eastAsia="仿宋_GB2312" w:cs="Calibri"/>
          <w:kern w:val="2"/>
          <w:sz w:val="32"/>
          <w:szCs w:val="32"/>
          <w:highlight w:val="none"/>
        </w:rPr>
      </w:pPr>
      <w:r>
        <w:rPr>
          <w:rFonts w:hint="eastAsia" w:ascii="仿宋_GB2312" w:hAnsi="仿宋" w:eastAsia="仿宋_GB2312" w:cs="Calibri"/>
          <w:kern w:val="2"/>
          <w:sz w:val="32"/>
          <w:szCs w:val="32"/>
          <w:highlight w:val="none"/>
        </w:rPr>
        <w:t>1.优先支持与专业相关度高、有鲜明创新理念或技术的项目；</w:t>
      </w:r>
    </w:p>
    <w:p>
      <w:pPr>
        <w:pStyle w:val="7"/>
        <w:shd w:val="clear" w:color="auto" w:fill="FFFFFF"/>
        <w:spacing w:before="0" w:beforeAutospacing="0" w:after="0" w:afterAutospacing="0" w:line="560" w:lineRule="exact"/>
        <w:ind w:firstLine="645"/>
        <w:jc w:val="both"/>
        <w:textAlignment w:val="baseline"/>
        <w:rPr>
          <w:rFonts w:hint="eastAsia" w:ascii="仿宋_GB2312" w:hAnsi="仿宋" w:eastAsia="仿宋_GB2312" w:cs="Calibri"/>
          <w:kern w:val="2"/>
          <w:sz w:val="32"/>
          <w:szCs w:val="32"/>
          <w:highlight w:val="none"/>
        </w:rPr>
      </w:pPr>
      <w:r>
        <w:rPr>
          <w:rFonts w:hint="eastAsia" w:ascii="仿宋_GB2312" w:hAnsi="仿宋" w:eastAsia="仿宋_GB2312" w:cs="Calibri"/>
          <w:kern w:val="2"/>
          <w:sz w:val="32"/>
          <w:szCs w:val="32"/>
          <w:highlight w:val="none"/>
        </w:rPr>
        <w:t>2.优先支持与粤港澳大湾区建设、粤东西北地区均衡发展和乡村振兴战略密切相关的项目；</w:t>
      </w:r>
    </w:p>
    <w:p>
      <w:pPr>
        <w:pStyle w:val="7"/>
        <w:shd w:val="clear" w:color="auto" w:fill="FFFFFF"/>
        <w:spacing w:before="0" w:beforeAutospacing="0" w:after="0" w:afterAutospacing="0" w:line="560" w:lineRule="exact"/>
        <w:ind w:firstLine="645"/>
        <w:jc w:val="both"/>
        <w:textAlignment w:val="baseline"/>
        <w:rPr>
          <w:rFonts w:hint="eastAsia" w:ascii="仿宋_GB2312" w:hAnsi="仿宋" w:eastAsia="仿宋_GB2312" w:cs="Calibri"/>
          <w:kern w:val="2"/>
          <w:sz w:val="32"/>
          <w:szCs w:val="32"/>
          <w:highlight w:val="none"/>
        </w:rPr>
      </w:pPr>
      <w:r>
        <w:rPr>
          <w:rFonts w:hint="eastAsia" w:ascii="仿宋_GB2312" w:hAnsi="仿宋" w:eastAsia="仿宋_GB2312" w:cs="Calibri"/>
          <w:kern w:val="2"/>
          <w:sz w:val="32"/>
          <w:szCs w:val="32"/>
          <w:highlight w:val="none"/>
        </w:rPr>
        <w:t>3.优先支持产学研结合、与粤港澳大湾区产业、经济和社会发展结合紧密的项目；</w:t>
      </w:r>
    </w:p>
    <w:p>
      <w:pPr>
        <w:pStyle w:val="7"/>
        <w:shd w:val="clear" w:color="auto" w:fill="FFFFFF"/>
        <w:spacing w:before="0" w:beforeAutospacing="0" w:after="0" w:afterAutospacing="0" w:line="560" w:lineRule="exact"/>
        <w:ind w:firstLine="645"/>
        <w:jc w:val="both"/>
        <w:textAlignment w:val="baseline"/>
        <w:rPr>
          <w:rFonts w:hint="eastAsia" w:ascii="仿宋_GB2312" w:hAnsi="仿宋" w:eastAsia="仿宋_GB2312" w:cs="Calibri"/>
          <w:kern w:val="2"/>
          <w:sz w:val="32"/>
          <w:szCs w:val="32"/>
          <w:highlight w:val="none"/>
        </w:rPr>
      </w:pPr>
      <w:r>
        <w:rPr>
          <w:rFonts w:hint="eastAsia" w:ascii="仿宋_GB2312" w:hAnsi="仿宋" w:eastAsia="仿宋_GB2312" w:cs="Calibri"/>
          <w:kern w:val="2"/>
          <w:sz w:val="32"/>
          <w:szCs w:val="32"/>
          <w:highlight w:val="none"/>
        </w:rPr>
        <w:t>4.优先支持项目经费充足且有高水平教师参与指导的项目；</w:t>
      </w:r>
    </w:p>
    <w:p>
      <w:pPr>
        <w:pStyle w:val="7"/>
        <w:shd w:val="clear" w:color="auto" w:fill="FFFFFF"/>
        <w:spacing w:before="0" w:beforeAutospacing="0" w:after="0" w:afterAutospacing="0" w:line="560" w:lineRule="exact"/>
        <w:ind w:firstLine="645"/>
        <w:jc w:val="both"/>
        <w:textAlignment w:val="baseline"/>
        <w:rPr>
          <w:rFonts w:hint="eastAsia" w:ascii="仿宋_GB2312" w:hAnsi="仿宋" w:eastAsia="仿宋_GB2312" w:cs="Calibri"/>
          <w:kern w:val="2"/>
          <w:sz w:val="32"/>
          <w:szCs w:val="32"/>
          <w:highlight w:val="none"/>
        </w:rPr>
      </w:pPr>
      <w:r>
        <w:rPr>
          <w:rFonts w:hint="eastAsia" w:ascii="仿宋_GB2312" w:hAnsi="仿宋" w:eastAsia="仿宋_GB2312" w:cs="Calibri"/>
          <w:kern w:val="2"/>
          <w:sz w:val="32"/>
          <w:szCs w:val="32"/>
          <w:highlight w:val="none"/>
        </w:rPr>
        <w:t>5.优先支持学生跨学校、跨院系、跨专业的团队协作项目；</w:t>
      </w:r>
    </w:p>
    <w:p>
      <w:pPr>
        <w:pStyle w:val="7"/>
        <w:shd w:val="clear" w:color="auto" w:fill="FFFFFF"/>
        <w:spacing w:before="0" w:beforeAutospacing="0" w:after="0" w:afterAutospacing="0" w:line="560" w:lineRule="exact"/>
        <w:ind w:firstLine="645"/>
        <w:jc w:val="both"/>
        <w:textAlignment w:val="baseline"/>
        <w:rPr>
          <w:rFonts w:hint="eastAsia" w:ascii="仿宋_GB2312" w:hAnsi="仿宋" w:eastAsia="仿宋_GB2312" w:cs="Calibri"/>
          <w:kern w:val="2"/>
          <w:sz w:val="32"/>
          <w:szCs w:val="32"/>
          <w:highlight w:val="none"/>
        </w:rPr>
      </w:pPr>
      <w:r>
        <w:rPr>
          <w:rFonts w:hint="eastAsia" w:ascii="仿宋_GB2312" w:hAnsi="仿宋" w:eastAsia="仿宋_GB2312" w:cs="Calibri"/>
          <w:kern w:val="2"/>
          <w:sz w:val="32"/>
          <w:szCs w:val="32"/>
          <w:highlight w:val="none"/>
        </w:rPr>
        <w:t>6.优先支持依托国家级一流本科专业建设点开展的项目。</w:t>
      </w:r>
    </w:p>
    <w:p>
      <w:pPr>
        <w:spacing w:line="560" w:lineRule="exact"/>
        <w:ind w:firstLine="630"/>
        <w:rPr>
          <w:rFonts w:hint="eastAsia" w:ascii="黑体" w:hAnsi="黑体" w:eastAsia="黑体"/>
          <w:szCs w:val="32"/>
          <w:highlight w:val="none"/>
        </w:rPr>
      </w:pPr>
      <w:r>
        <w:rPr>
          <w:rFonts w:hint="eastAsia" w:ascii="黑体" w:hAnsi="黑体" w:eastAsia="黑体"/>
          <w:szCs w:val="32"/>
          <w:highlight w:val="none"/>
        </w:rPr>
        <w:t>六、申报流程</w:t>
      </w:r>
    </w:p>
    <w:p>
      <w:pPr>
        <w:pStyle w:val="7"/>
        <w:adjustRightInd w:val="0"/>
        <w:snapToGrid w:val="0"/>
        <w:spacing w:before="0" w:beforeAutospacing="0" w:after="0" w:afterAutospacing="0" w:line="560" w:lineRule="exact"/>
        <w:ind w:left="-268" w:leftChars="-85" w:firstLine="645"/>
        <w:jc w:val="both"/>
        <w:rPr>
          <w:rFonts w:hint="eastAsia" w:ascii="楷体" w:hAnsi="楷体" w:eastAsia="楷体"/>
          <w:kern w:val="2"/>
          <w:sz w:val="32"/>
          <w:szCs w:val="32"/>
          <w:highlight w:val="none"/>
        </w:rPr>
      </w:pPr>
      <w:r>
        <w:rPr>
          <w:rFonts w:hint="eastAsia" w:ascii="楷体" w:hAnsi="楷体" w:eastAsia="楷体"/>
          <w:kern w:val="2"/>
          <w:sz w:val="32"/>
          <w:szCs w:val="32"/>
          <w:highlight w:val="none"/>
        </w:rPr>
        <w:t>（一）个人申报（截止申报时间由各学院自行确定）</w:t>
      </w:r>
    </w:p>
    <w:p>
      <w:pPr>
        <w:pStyle w:val="7"/>
        <w:adjustRightInd w:val="0"/>
        <w:snapToGrid w:val="0"/>
        <w:spacing w:before="0" w:beforeAutospacing="0" w:after="0" w:afterAutospacing="0" w:line="560" w:lineRule="exact"/>
        <w:ind w:left="-268" w:leftChars="-85" w:firstLine="645"/>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申报者根据项目类别填写对应的申报表（附件2）（如有前期研究成果，可附于申报表后）报送至学院团委。</w:t>
      </w:r>
    </w:p>
    <w:p>
      <w:pPr>
        <w:pStyle w:val="7"/>
        <w:adjustRightInd w:val="0"/>
        <w:snapToGrid w:val="0"/>
        <w:spacing w:before="0" w:beforeAutospacing="0" w:after="0" w:afterAutospacing="0" w:line="560" w:lineRule="exact"/>
        <w:ind w:left="-268" w:leftChars="-85" w:firstLine="645"/>
        <w:jc w:val="both"/>
        <w:rPr>
          <w:rFonts w:hint="eastAsia" w:ascii="楷体" w:hAnsi="楷体" w:eastAsia="楷体"/>
          <w:kern w:val="2"/>
          <w:sz w:val="32"/>
          <w:szCs w:val="32"/>
          <w:highlight w:val="none"/>
        </w:rPr>
      </w:pPr>
      <w:r>
        <w:rPr>
          <w:rFonts w:hint="eastAsia" w:ascii="楷体" w:hAnsi="楷体" w:eastAsia="楷体"/>
          <w:kern w:val="2"/>
          <w:sz w:val="32"/>
          <w:szCs w:val="32"/>
          <w:highlight w:val="none"/>
        </w:rPr>
        <w:t>（二）学院审核推荐：2023年11月18日前</w:t>
      </w:r>
    </w:p>
    <w:p>
      <w:pPr>
        <w:pStyle w:val="7"/>
        <w:adjustRightInd w:val="0"/>
        <w:snapToGrid w:val="0"/>
        <w:spacing w:before="0" w:beforeAutospacing="0" w:after="0" w:afterAutospacing="0" w:line="560" w:lineRule="exact"/>
        <w:ind w:left="-268" w:leftChars="-85"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学院组织专家评审，从学术科技类项目、创业类项目中各自推荐不超过该类别申报项目总数50%的项目作为校级项目，从校级项目中推荐不超过50%（以20项为上限）的作为校级重点项目</w:t>
      </w:r>
      <w:r>
        <w:rPr>
          <w:rFonts w:hint="eastAsia" w:ascii="仿宋_GB2312" w:hAnsi="仿宋" w:eastAsia="仿宋_GB2312"/>
          <w:kern w:val="2"/>
          <w:sz w:val="32"/>
          <w:szCs w:val="32"/>
          <w:highlight w:val="none"/>
          <w:lang w:eastAsia="zh-CN"/>
        </w:rPr>
        <w:t>。</w:t>
      </w:r>
      <w:r>
        <w:rPr>
          <w:rFonts w:hint="eastAsia" w:ascii="仿宋_GB2312" w:hAnsi="仿宋" w:eastAsia="仿宋_GB2312"/>
          <w:kern w:val="2"/>
          <w:sz w:val="32"/>
          <w:szCs w:val="32"/>
          <w:highlight w:val="none"/>
        </w:rPr>
        <w:t>哲学社会科学类社会调查报告和学术论文</w:t>
      </w:r>
      <w:r>
        <w:rPr>
          <w:rFonts w:hint="eastAsia" w:ascii="仿宋_GB2312" w:hAnsi="仿宋" w:eastAsia="仿宋_GB2312"/>
          <w:kern w:val="2"/>
          <w:sz w:val="32"/>
          <w:szCs w:val="32"/>
          <w:highlight w:val="none"/>
          <w:lang w:val="en-US" w:eastAsia="zh-CN"/>
        </w:rPr>
        <w:t>推荐项目</w:t>
      </w:r>
      <w:r>
        <w:rPr>
          <w:rFonts w:hint="eastAsia" w:ascii="仿宋_GB2312" w:hAnsi="仿宋" w:eastAsia="仿宋_GB2312"/>
          <w:kern w:val="2"/>
          <w:sz w:val="32"/>
          <w:szCs w:val="32"/>
          <w:highlight w:val="none"/>
        </w:rPr>
        <w:t>中，社会调查报告</w:t>
      </w:r>
      <w:r>
        <w:rPr>
          <w:rFonts w:hint="eastAsia" w:ascii="仿宋_GB2312" w:hAnsi="仿宋" w:eastAsia="仿宋_GB2312"/>
          <w:kern w:val="2"/>
          <w:sz w:val="32"/>
          <w:szCs w:val="32"/>
          <w:highlight w:val="none"/>
          <w:lang w:val="en-US" w:eastAsia="zh-CN"/>
        </w:rPr>
        <w:t>数量</w:t>
      </w:r>
      <w:r>
        <w:rPr>
          <w:rFonts w:hint="eastAsia" w:ascii="仿宋_GB2312" w:hAnsi="仿宋" w:eastAsia="仿宋_GB2312"/>
          <w:kern w:val="2"/>
          <w:sz w:val="32"/>
          <w:szCs w:val="32"/>
          <w:highlight w:val="none"/>
        </w:rPr>
        <w:t>不少于70%。</w:t>
      </w:r>
      <w:r>
        <w:rPr>
          <w:rFonts w:hint="eastAsia" w:ascii="仿宋_GB2312" w:hAnsi="仿宋" w:eastAsia="仿宋_GB2312"/>
          <w:kern w:val="2"/>
          <w:sz w:val="32"/>
          <w:szCs w:val="32"/>
          <w:highlight w:val="none"/>
        </w:rPr>
        <w:t>各学院可从未推荐为校级项目的其余项目中择优确定院级项目（数量、比例由各学院结合评审情况自行确定）</w:t>
      </w:r>
    </w:p>
    <w:p>
      <w:pPr>
        <w:pStyle w:val="7"/>
        <w:adjustRightInd w:val="0"/>
        <w:snapToGrid w:val="0"/>
        <w:spacing w:before="0" w:beforeAutospacing="0" w:after="0" w:afterAutospacing="0" w:line="560" w:lineRule="exact"/>
        <w:ind w:left="-268" w:leftChars="-85"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2022-2023学年度“双百工程”总结项率（学术科技类项目、创业类项目合并计算）达到100%的学院，校级项目推荐总数</w:t>
      </w:r>
      <w:r>
        <w:rPr>
          <w:rFonts w:hint="eastAsia" w:ascii="仿宋_GB2312" w:hAnsi="仿宋" w:eastAsia="仿宋_GB2312"/>
          <w:kern w:val="2"/>
          <w:sz w:val="32"/>
          <w:szCs w:val="32"/>
          <w:highlight w:val="none"/>
          <w:lang w:val="en-US" w:eastAsia="zh-CN"/>
        </w:rPr>
        <w:t>按上述标准确定，此外可另</w:t>
      </w:r>
      <w:r>
        <w:rPr>
          <w:rFonts w:hint="eastAsia" w:ascii="仿宋_GB2312" w:hAnsi="仿宋" w:eastAsia="仿宋_GB2312"/>
          <w:kern w:val="2"/>
          <w:sz w:val="32"/>
          <w:szCs w:val="32"/>
          <w:highlight w:val="none"/>
        </w:rPr>
        <w:t>增加2个重点项目的推荐名额。总结项率低于90%的学院，减少2个校级项目推荐名额。总结项率低于85%的学院，减少3个校级项目推荐名额。增加或减少的名额，各学院自行确定适用于学术科技项目或创业项目。</w:t>
      </w:r>
    </w:p>
    <w:p>
      <w:pPr>
        <w:pStyle w:val="7"/>
        <w:adjustRightInd w:val="0"/>
        <w:snapToGrid w:val="0"/>
        <w:spacing w:before="0" w:beforeAutospacing="0" w:after="0" w:afterAutospacing="0" w:line="560" w:lineRule="exact"/>
        <w:ind w:left="-268" w:leftChars="-85" w:firstLine="632" w:firstLineChars="200"/>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有研究生在读的学院，须统筹做好本科生项目和研究生项目的推荐评审工作，确保研究生项目在推荐项目中占有一定比例。（一般不低于研究生人数在学院学生总人数中的占比，具体由学院结合实际情况确定）</w:t>
      </w:r>
    </w:p>
    <w:p>
      <w:pPr>
        <w:pStyle w:val="7"/>
        <w:adjustRightInd w:val="0"/>
        <w:snapToGrid w:val="0"/>
        <w:spacing w:before="0" w:beforeAutospacing="0" w:after="0" w:afterAutospacing="0" w:line="560" w:lineRule="exact"/>
        <w:ind w:left="-268" w:leftChars="-85" w:firstLine="645"/>
        <w:jc w:val="both"/>
        <w:rPr>
          <w:rFonts w:hint="eastAsia" w:ascii="楷体" w:hAnsi="楷体" w:eastAsia="楷体"/>
          <w:kern w:val="2"/>
          <w:sz w:val="32"/>
          <w:szCs w:val="32"/>
          <w:highlight w:val="none"/>
        </w:rPr>
      </w:pPr>
      <w:r>
        <w:rPr>
          <w:rFonts w:hint="eastAsia" w:ascii="楷体" w:hAnsi="楷体" w:eastAsia="楷体"/>
          <w:kern w:val="2"/>
          <w:sz w:val="32"/>
          <w:szCs w:val="32"/>
          <w:highlight w:val="none"/>
        </w:rPr>
        <w:t>（三）学校复</w:t>
      </w:r>
      <w:r>
        <w:rPr>
          <w:rFonts w:hint="eastAsia" w:ascii="楷体" w:hAnsi="楷体" w:eastAsia="楷体"/>
          <w:kern w:val="2"/>
          <w:sz w:val="32"/>
          <w:szCs w:val="32"/>
          <w:highlight w:val="none"/>
          <w:lang w:val="en-US" w:eastAsia="zh-CN"/>
        </w:rPr>
        <w:t>评</w:t>
      </w:r>
      <w:r>
        <w:rPr>
          <w:rFonts w:hint="eastAsia" w:ascii="楷体" w:hAnsi="楷体" w:eastAsia="楷体"/>
          <w:kern w:val="2"/>
          <w:sz w:val="32"/>
          <w:szCs w:val="32"/>
          <w:highlight w:val="none"/>
        </w:rPr>
        <w:t>及</w:t>
      </w:r>
      <w:r>
        <w:rPr>
          <w:rFonts w:hint="eastAsia" w:ascii="楷体" w:hAnsi="楷体" w:eastAsia="楷体"/>
          <w:kern w:val="2"/>
          <w:sz w:val="32"/>
          <w:szCs w:val="32"/>
          <w:highlight w:val="none"/>
          <w:lang w:val="en-US" w:eastAsia="zh-CN"/>
        </w:rPr>
        <w:t>拟</w:t>
      </w:r>
      <w:r>
        <w:rPr>
          <w:rFonts w:hint="eastAsia" w:ascii="楷体" w:hAnsi="楷体" w:eastAsia="楷体"/>
          <w:kern w:val="2"/>
          <w:sz w:val="32"/>
          <w:szCs w:val="32"/>
          <w:highlight w:val="none"/>
        </w:rPr>
        <w:t>立项项目公示：2023年11月</w:t>
      </w:r>
      <w:r>
        <w:rPr>
          <w:rFonts w:hint="eastAsia" w:ascii="楷体" w:hAnsi="楷体" w:eastAsia="楷体"/>
          <w:kern w:val="2"/>
          <w:sz w:val="32"/>
          <w:szCs w:val="32"/>
          <w:highlight w:val="none"/>
          <w:lang w:val="en-US" w:eastAsia="zh-CN"/>
        </w:rPr>
        <w:t>28</w:t>
      </w:r>
      <w:r>
        <w:rPr>
          <w:rFonts w:hint="eastAsia" w:ascii="楷体" w:hAnsi="楷体" w:eastAsia="楷体"/>
          <w:kern w:val="2"/>
          <w:sz w:val="32"/>
          <w:szCs w:val="32"/>
          <w:highlight w:val="none"/>
        </w:rPr>
        <w:t>日前</w:t>
      </w:r>
    </w:p>
    <w:p>
      <w:pPr>
        <w:pStyle w:val="7"/>
        <w:adjustRightInd w:val="0"/>
        <w:snapToGrid w:val="0"/>
        <w:spacing w:before="0" w:beforeAutospacing="0" w:after="0" w:afterAutospacing="0" w:line="560" w:lineRule="exact"/>
        <w:ind w:left="-268" w:leftChars="-85" w:firstLine="645"/>
        <w:jc w:val="both"/>
        <w:rPr>
          <w:rFonts w:hint="eastAsia" w:ascii="楷体" w:hAnsi="楷体" w:eastAsia="楷体"/>
          <w:kern w:val="2"/>
          <w:sz w:val="32"/>
          <w:szCs w:val="32"/>
          <w:highlight w:val="none"/>
        </w:rPr>
      </w:pPr>
      <w:r>
        <w:rPr>
          <w:rFonts w:hint="eastAsia" w:ascii="楷体" w:hAnsi="楷体" w:eastAsia="楷体"/>
          <w:kern w:val="2"/>
          <w:sz w:val="32"/>
          <w:szCs w:val="32"/>
          <w:highlight w:val="none"/>
        </w:rPr>
        <w:t>（四）项目</w:t>
      </w:r>
      <w:r>
        <w:rPr>
          <w:rFonts w:hint="eastAsia" w:ascii="楷体" w:hAnsi="楷体" w:eastAsia="楷体"/>
          <w:kern w:val="2"/>
          <w:sz w:val="32"/>
          <w:szCs w:val="32"/>
          <w:highlight w:val="none"/>
          <w:lang w:val="en-US" w:eastAsia="zh-CN"/>
        </w:rPr>
        <w:t>培育</w:t>
      </w:r>
      <w:r>
        <w:rPr>
          <w:rFonts w:hint="eastAsia" w:ascii="楷体" w:hAnsi="楷体" w:eastAsia="楷体"/>
          <w:kern w:val="2"/>
          <w:sz w:val="32"/>
          <w:szCs w:val="32"/>
          <w:highlight w:val="none"/>
        </w:rPr>
        <w:t>：2023年1</w:t>
      </w:r>
      <w:r>
        <w:rPr>
          <w:rFonts w:hint="eastAsia" w:ascii="楷体" w:hAnsi="楷体" w:eastAsia="楷体"/>
          <w:kern w:val="2"/>
          <w:sz w:val="32"/>
          <w:szCs w:val="32"/>
          <w:highlight w:val="none"/>
          <w:lang w:val="en-US" w:eastAsia="zh-CN"/>
        </w:rPr>
        <w:t>1</w:t>
      </w:r>
      <w:r>
        <w:rPr>
          <w:rFonts w:hint="eastAsia" w:ascii="楷体" w:hAnsi="楷体" w:eastAsia="楷体"/>
          <w:kern w:val="2"/>
          <w:sz w:val="32"/>
          <w:szCs w:val="32"/>
          <w:highlight w:val="none"/>
        </w:rPr>
        <w:t>月-2024年</w:t>
      </w:r>
      <w:r>
        <w:rPr>
          <w:rFonts w:hint="eastAsia" w:ascii="楷体" w:hAnsi="楷体" w:eastAsia="楷体"/>
          <w:kern w:val="2"/>
          <w:sz w:val="32"/>
          <w:szCs w:val="32"/>
          <w:highlight w:val="none"/>
          <w:lang w:val="en-US" w:eastAsia="zh-CN"/>
        </w:rPr>
        <w:t>7</w:t>
      </w:r>
      <w:r>
        <w:rPr>
          <w:rFonts w:hint="eastAsia" w:ascii="楷体" w:hAnsi="楷体" w:eastAsia="楷体"/>
          <w:kern w:val="2"/>
          <w:sz w:val="32"/>
          <w:szCs w:val="32"/>
          <w:highlight w:val="none"/>
        </w:rPr>
        <w:t>月</w:t>
      </w:r>
    </w:p>
    <w:p>
      <w:pPr>
        <w:pStyle w:val="7"/>
        <w:adjustRightInd w:val="0"/>
        <w:snapToGrid w:val="0"/>
        <w:spacing w:before="0" w:beforeAutospacing="0" w:after="0" w:afterAutospacing="0" w:line="560" w:lineRule="exact"/>
        <w:ind w:left="-268" w:leftChars="-85" w:firstLine="645"/>
        <w:jc w:val="both"/>
        <w:rPr>
          <w:rFonts w:hint="eastAsia" w:ascii="仿宋_GB2312" w:hAnsi="仿宋" w:eastAsia="仿宋_GB2312"/>
          <w:kern w:val="2"/>
          <w:sz w:val="32"/>
          <w:szCs w:val="32"/>
          <w:highlight w:val="none"/>
        </w:rPr>
      </w:pPr>
      <w:r>
        <w:rPr>
          <w:rFonts w:hint="eastAsia" w:ascii="仿宋_GB2312" w:hAnsi="仿宋" w:eastAsia="仿宋_GB2312"/>
          <w:kern w:val="2"/>
          <w:sz w:val="32"/>
          <w:szCs w:val="32"/>
          <w:highlight w:val="none"/>
        </w:rPr>
        <w:t>各学院指导和督促立项团队扎实做好项目研究工作，聘请专家对本学院的各类立项项目进行指导。</w:t>
      </w:r>
    </w:p>
    <w:p>
      <w:pPr>
        <w:pStyle w:val="7"/>
        <w:adjustRightInd w:val="0"/>
        <w:snapToGrid w:val="0"/>
        <w:spacing w:before="0" w:beforeAutospacing="0" w:after="0" w:afterAutospacing="0" w:line="560" w:lineRule="exact"/>
        <w:ind w:left="-268" w:leftChars="-85" w:firstLine="645"/>
        <w:jc w:val="both"/>
        <w:rPr>
          <w:rFonts w:hint="eastAsia" w:ascii="楷体" w:hAnsi="楷体" w:eastAsia="楷体"/>
          <w:kern w:val="2"/>
          <w:sz w:val="32"/>
          <w:szCs w:val="32"/>
          <w:highlight w:val="none"/>
        </w:rPr>
      </w:pPr>
      <w:r>
        <w:rPr>
          <w:rFonts w:hint="eastAsia" w:ascii="楷体" w:hAnsi="楷体" w:eastAsia="楷体"/>
          <w:kern w:val="2"/>
          <w:sz w:val="32"/>
          <w:szCs w:val="32"/>
          <w:highlight w:val="none"/>
        </w:rPr>
        <w:t>（五）结项验收：2024年</w:t>
      </w:r>
      <w:r>
        <w:rPr>
          <w:rFonts w:hint="eastAsia" w:ascii="楷体" w:hAnsi="楷体" w:eastAsia="楷体"/>
          <w:kern w:val="2"/>
          <w:sz w:val="32"/>
          <w:szCs w:val="32"/>
          <w:highlight w:val="none"/>
          <w:lang w:val="en-US" w:eastAsia="zh-CN"/>
        </w:rPr>
        <w:t>8</w:t>
      </w:r>
      <w:r>
        <w:rPr>
          <w:rFonts w:hint="eastAsia" w:ascii="楷体" w:hAnsi="楷体" w:eastAsia="楷体"/>
          <w:kern w:val="2"/>
          <w:sz w:val="32"/>
          <w:szCs w:val="32"/>
          <w:highlight w:val="none"/>
        </w:rPr>
        <w:t>月</w:t>
      </w:r>
    </w:p>
    <w:p>
      <w:pPr>
        <w:spacing w:line="560" w:lineRule="exact"/>
        <w:ind w:firstLine="632" w:firstLineChars="200"/>
        <w:rPr>
          <w:rFonts w:hint="eastAsia" w:ascii="仿宋_GB2312" w:hAnsi="仿宋" w:eastAsia="仿宋_GB2312"/>
          <w:szCs w:val="32"/>
          <w:highlight w:val="none"/>
        </w:rPr>
      </w:pPr>
      <w:r>
        <w:rPr>
          <w:rFonts w:hint="eastAsia" w:ascii="仿宋_GB2312" w:hAnsi="仿宋" w:eastAsia="仿宋_GB2312"/>
          <w:szCs w:val="32"/>
          <w:highlight w:val="none"/>
        </w:rPr>
        <w:t>各学院组织结项评审并将结果报校团委。根据学院初评结果，学校组织专家对项目进行终评，确定各项目结项等级。学校为通过验收并达到优秀标准的项目一次性全额划拨资助经费，并择优汇编优秀项目成果集。</w:t>
      </w:r>
    </w:p>
    <w:p>
      <w:pPr>
        <w:spacing w:line="560" w:lineRule="exact"/>
        <w:ind w:firstLine="630"/>
        <w:rPr>
          <w:rFonts w:hint="eastAsia" w:ascii="黑体" w:hAnsi="黑体" w:eastAsia="黑体"/>
          <w:szCs w:val="32"/>
          <w:highlight w:val="none"/>
        </w:rPr>
      </w:pPr>
      <w:r>
        <w:rPr>
          <w:rFonts w:hint="eastAsia" w:ascii="黑体" w:hAnsi="黑体" w:eastAsia="黑体"/>
          <w:szCs w:val="32"/>
          <w:highlight w:val="none"/>
        </w:rPr>
        <w:t>七、注意事项</w:t>
      </w:r>
    </w:p>
    <w:p>
      <w:pPr>
        <w:spacing w:line="560" w:lineRule="exact"/>
        <w:ind w:firstLine="630"/>
        <w:rPr>
          <w:rFonts w:hint="eastAsia" w:ascii="仿宋_GB2312" w:hAnsi="仿宋" w:eastAsia="仿宋_GB2312" w:cs="Times New Roman"/>
          <w:szCs w:val="32"/>
          <w:highlight w:val="none"/>
        </w:rPr>
      </w:pPr>
      <w:r>
        <w:rPr>
          <w:rFonts w:hint="eastAsia" w:ascii="仿宋_GB2312" w:hAnsi="仿宋" w:eastAsia="仿宋_GB2312" w:cs="Times New Roman"/>
          <w:szCs w:val="32"/>
          <w:highlight w:val="none"/>
        </w:rPr>
        <w:t>（一）各学院要高度重视，做好面向全院学生的宣传发动，指导学生组建团队，邀请相关领域专家命制选题供学生选报。学院审核推荐阶段，应组织不少于3名具备副高及以上职称、符合回避原则的专家对作品进行匿名评审，对拟推荐结果在学院网站或官方微信平台上进行不少于3天的公示。</w:t>
      </w:r>
    </w:p>
    <w:p>
      <w:pPr>
        <w:spacing w:line="560" w:lineRule="exact"/>
        <w:ind w:firstLine="632" w:firstLineChars="200"/>
        <w:rPr>
          <w:rFonts w:hint="eastAsia" w:ascii="仿宋_GB2312" w:hAnsi="仿宋" w:eastAsia="仿宋_GB2312" w:cs="宋体"/>
          <w:kern w:val="0"/>
          <w:szCs w:val="32"/>
          <w:highlight w:val="none"/>
        </w:rPr>
      </w:pPr>
      <w:r>
        <w:rPr>
          <w:rFonts w:hint="eastAsia" w:ascii="仿宋_GB2312" w:hAnsi="仿宋" w:eastAsia="仿宋_GB2312"/>
          <w:szCs w:val="32"/>
          <w:highlight w:val="none"/>
        </w:rPr>
        <w:t>（二）本次“双百工程”创业项目类立项评审同时作为学校第十二届“挑战杯”大学生创业计划竞赛的</w:t>
      </w:r>
      <w:r>
        <w:rPr>
          <w:rFonts w:hint="eastAsia" w:ascii="仿宋_GB2312" w:hAnsi="仿宋" w:eastAsia="仿宋_GB2312"/>
          <w:szCs w:val="32"/>
          <w:highlight w:val="none"/>
          <w:lang w:val="en-US" w:eastAsia="zh-CN"/>
        </w:rPr>
        <w:t>初赛</w:t>
      </w:r>
      <w:r>
        <w:rPr>
          <w:rFonts w:hint="eastAsia" w:ascii="仿宋_GB2312" w:hAnsi="仿宋" w:eastAsia="仿宋_GB2312"/>
          <w:szCs w:val="32"/>
          <w:highlight w:val="none"/>
        </w:rPr>
        <w:t>，</w:t>
      </w:r>
      <w:r>
        <w:rPr>
          <w:rFonts w:hint="eastAsia" w:ascii="仿宋_GB2312" w:hAnsi="仿宋" w:eastAsia="仿宋_GB2312" w:cs="宋体"/>
          <w:kern w:val="0"/>
          <w:szCs w:val="32"/>
          <w:highlight w:val="none"/>
        </w:rPr>
        <w:t>获得校级重点立项的项目，同时获得参加</w:t>
      </w:r>
      <w:r>
        <w:rPr>
          <w:rFonts w:hint="eastAsia" w:ascii="仿宋_GB2312" w:hAnsi="仿宋" w:eastAsia="仿宋_GB2312"/>
          <w:szCs w:val="32"/>
          <w:highlight w:val="none"/>
        </w:rPr>
        <w:t>该竞赛校赛</w:t>
      </w:r>
      <w:r>
        <w:rPr>
          <w:rFonts w:hint="eastAsia" w:ascii="仿宋_GB2312" w:hAnsi="仿宋" w:eastAsia="仿宋_GB2312"/>
          <w:szCs w:val="32"/>
          <w:highlight w:val="none"/>
          <w:lang w:val="en-US" w:eastAsia="zh-CN"/>
        </w:rPr>
        <w:t>复赛</w:t>
      </w:r>
      <w:r>
        <w:rPr>
          <w:rFonts w:hint="eastAsia" w:ascii="仿宋_GB2312" w:hAnsi="仿宋" w:eastAsia="仿宋_GB2312"/>
          <w:szCs w:val="32"/>
          <w:highlight w:val="none"/>
        </w:rPr>
        <w:t>的资格。</w:t>
      </w:r>
    </w:p>
    <w:p>
      <w:pPr>
        <w:spacing w:line="560" w:lineRule="exact"/>
        <w:ind w:firstLine="632" w:firstLineChars="200"/>
        <w:rPr>
          <w:rFonts w:hint="eastAsia" w:ascii="仿宋_GB2312" w:hAnsi="仿宋" w:eastAsia="仿宋_GB2312"/>
          <w:szCs w:val="32"/>
          <w:highlight w:val="none"/>
        </w:rPr>
      </w:pPr>
      <w:r>
        <w:rPr>
          <w:rFonts w:hint="eastAsia" w:ascii="仿宋_GB2312" w:hAnsi="仿宋" w:eastAsia="仿宋_GB2312"/>
          <w:szCs w:val="32"/>
          <w:highlight w:val="none"/>
        </w:rPr>
        <w:t>（三）</w:t>
      </w:r>
      <w:r>
        <w:rPr>
          <w:rFonts w:hint="eastAsia" w:ascii="仿宋_GB2312" w:hAnsi="仿宋_GB2312" w:eastAsia="仿宋_GB2312" w:cs="仿宋_GB2312"/>
          <w:szCs w:val="32"/>
          <w:highlight w:val="none"/>
        </w:rPr>
        <w:t>相关安排如有调整，以学校后续发布的正式通知为准</w:t>
      </w:r>
      <w:r>
        <w:rPr>
          <w:rFonts w:hint="eastAsia" w:ascii="仿宋_GB2312" w:hAnsi="仿宋" w:eastAsia="仿宋_GB2312"/>
          <w:szCs w:val="32"/>
          <w:highlight w:val="none"/>
        </w:rPr>
        <w:t>。</w:t>
      </w:r>
    </w:p>
    <w:bookmarkEnd w:id="0"/>
    <w:sectPr>
      <w:footerReference r:id="rId3" w:type="default"/>
      <w:footerReference r:id="rId4" w:type="even"/>
      <w:pgSz w:w="11906" w:h="16838"/>
      <w:pgMar w:top="2098" w:right="1474" w:bottom="1985" w:left="1588" w:header="851" w:footer="992" w:gutter="0"/>
      <w:pgNumType w:fmt="numberInDash"/>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241381"/>
    </w:sdtPr>
    <w:sdtEndPr>
      <w:rPr>
        <w:rFonts w:ascii="宋体" w:hAnsi="宋体"/>
        <w:sz w:val="28"/>
        <w:szCs w:val="28"/>
      </w:rPr>
    </w:sdtEndPr>
    <w:sdtContent>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0821284"/>
    </w:sdtPr>
    <w:sdtEndPr>
      <w:rPr>
        <w:rFonts w:ascii="宋体" w:hAnsi="宋体"/>
        <w:sz w:val="28"/>
        <w:szCs w:val="28"/>
      </w:rPr>
    </w:sdtEndPr>
    <w:sdtContent>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NGI5OGU3YThlNDU1YWZmNWZkY2I3M2JjYTZjYTUifQ=="/>
  </w:docVars>
  <w:rsids>
    <w:rsidRoot w:val="004E37C8"/>
    <w:rsid w:val="000B4B99"/>
    <w:rsid w:val="003471EA"/>
    <w:rsid w:val="00434AE5"/>
    <w:rsid w:val="004E37C8"/>
    <w:rsid w:val="00566E03"/>
    <w:rsid w:val="007364EA"/>
    <w:rsid w:val="009033B4"/>
    <w:rsid w:val="00A61A09"/>
    <w:rsid w:val="00CC6E89"/>
    <w:rsid w:val="00D34E11"/>
    <w:rsid w:val="00DF1149"/>
    <w:rsid w:val="0E397A33"/>
    <w:rsid w:val="32826E41"/>
    <w:rsid w:val="46510B5B"/>
    <w:rsid w:val="4B3F4822"/>
    <w:rsid w:val="5E1567B9"/>
    <w:rsid w:val="5E6F6C28"/>
    <w:rsid w:val="64C341C9"/>
    <w:rsid w:val="655A1441"/>
    <w:rsid w:val="69B53996"/>
    <w:rsid w:val="75F6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Calibri"/>
      <w:kern w:val="2"/>
      <w:sz w:val="32"/>
      <w:szCs w:val="21"/>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Times New Roman" w:hAnsi="Times New Roman" w:cs="Times New Roman"/>
      <w:kern w:val="0"/>
      <w:sz w:val="24"/>
      <w:szCs w:val="24"/>
    </w:rPr>
  </w:style>
  <w:style w:type="character" w:styleId="10">
    <w:name w:val="Strong"/>
    <w:basedOn w:val="9"/>
    <w:qFormat/>
    <w:uiPriority w:val="22"/>
    <w:rPr>
      <w:b/>
    </w:rPr>
  </w:style>
  <w:style w:type="character" w:styleId="11">
    <w:name w:val="Emphasis"/>
    <w:basedOn w:val="9"/>
    <w:qFormat/>
    <w:uiPriority w:val="20"/>
    <w:rPr>
      <w:i/>
      <w:iCs/>
    </w:rPr>
  </w:style>
  <w:style w:type="character" w:styleId="12">
    <w:name w:val="annotation reference"/>
    <w:basedOn w:val="9"/>
    <w:unhideWhenUsed/>
    <w:qFormat/>
    <w:uiPriority w:val="99"/>
    <w:rPr>
      <w:sz w:val="21"/>
      <w:szCs w:val="21"/>
    </w:rPr>
  </w:style>
  <w:style w:type="character" w:customStyle="1" w:styleId="13">
    <w:name w:val="页眉 Char"/>
    <w:basedOn w:val="9"/>
    <w:link w:val="6"/>
    <w:qFormat/>
    <w:uiPriority w:val="99"/>
    <w:rPr>
      <w:rFonts w:ascii="Calibri" w:hAnsi="Calibri" w:eastAsia="宋体" w:cs="Calibri"/>
      <w:sz w:val="18"/>
      <w:szCs w:val="18"/>
    </w:rPr>
  </w:style>
  <w:style w:type="character" w:customStyle="1" w:styleId="14">
    <w:name w:val="页脚 Char"/>
    <w:basedOn w:val="9"/>
    <w:link w:val="5"/>
    <w:qFormat/>
    <w:uiPriority w:val="99"/>
    <w:rPr>
      <w:rFonts w:ascii="Calibri" w:hAnsi="Calibri" w:eastAsia="宋体" w:cs="Calibri"/>
      <w:sz w:val="18"/>
      <w:szCs w:val="18"/>
    </w:rPr>
  </w:style>
  <w:style w:type="character" w:customStyle="1" w:styleId="15">
    <w:name w:val="批注框文本 Char"/>
    <w:basedOn w:val="9"/>
    <w:link w:val="4"/>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538</Words>
  <Characters>3070</Characters>
  <Lines>25</Lines>
  <Paragraphs>7</Paragraphs>
  <TotalTime>6</TotalTime>
  <ScaleCrop>false</ScaleCrop>
  <LinksUpToDate>false</LinksUpToDate>
  <CharactersWithSpaces>3601</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2023-10-12T13:02:00Z</dcterms:created>
  <dc:creator>赵鹏</dc:creator>
  <cp:lastModifiedBy>鹏程</cp:lastModifiedBy>
  <dcterms:modified xsi:type="dcterms:W3CDTF">2023-10-14T23:25:14Z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34EE8245B7DF4269AA285B0CEDF46975</vt:lpwstr>
  </property>
</Properties>
</file>